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85" w:firstLine="567"/>
        <w:contextualSpacing/>
        <w:jc w:val="center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СОВЕТ НАРОДНЫХ ДЕПУТАТОВ</w:t>
      </w:r>
    </w:p>
    <w:p>
      <w:pPr>
        <w:spacing w:after="0" w:line="240" w:lineRule="auto"/>
        <w:ind w:right="-185" w:firstLine="567"/>
        <w:contextualSpacing/>
        <w:jc w:val="center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СОЛДАТСКОГО</w:t>
      </w:r>
      <w:r>
        <w:rPr>
          <w:rFonts w:hint="default" w:ascii="Arial" w:hAnsi="Arial" w:eastAsia="Times New Roman" w:cs="Arial"/>
          <w:bCs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>СЕЛЬСКОГО ПОСЕЛЕНИЯ</w:t>
      </w:r>
    </w:p>
    <w:p>
      <w:pPr>
        <w:spacing w:after="0" w:line="240" w:lineRule="auto"/>
        <w:ind w:right="-185" w:firstLine="567"/>
        <w:contextualSpacing/>
        <w:jc w:val="center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ОСТРОГОЖСКОГО МУНИЦИПАЛЬНОГО РАЙОНА</w:t>
      </w:r>
    </w:p>
    <w:p>
      <w:pPr>
        <w:spacing w:after="0" w:line="240" w:lineRule="auto"/>
        <w:ind w:right="-185" w:firstLine="567"/>
        <w:contextualSpacing/>
        <w:jc w:val="center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ВОРОНЕЖСКОЙ ОБЛАСТИ</w:t>
      </w:r>
    </w:p>
    <w:p>
      <w:pPr>
        <w:spacing w:after="0" w:line="240" w:lineRule="auto"/>
        <w:ind w:firstLine="567"/>
        <w:contextualSpacing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РЕШЕНИЕ</w:t>
      </w:r>
    </w:p>
    <w:p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before="240" w:after="60" w:line="240" w:lineRule="auto"/>
        <w:ind w:firstLine="567"/>
        <w:contextualSpacing/>
        <w:outlineLvl w:val="0"/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>29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.03.20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>24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 г.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№ 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>149</w:t>
      </w:r>
    </w:p>
    <w:p>
      <w:pPr>
        <w:spacing w:before="240" w:after="60" w:line="240" w:lineRule="auto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outlineLvl w:val="0"/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О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 xml:space="preserve"> внесении изменений и дополнений в решение </w:t>
      </w:r>
    </w:p>
    <w:p>
      <w:pPr>
        <w:spacing w:after="0" w:line="240" w:lineRule="auto"/>
        <w:ind w:firstLine="567"/>
        <w:contextualSpacing/>
        <w:outlineLvl w:val="0"/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 xml:space="preserve">Совета народных депутатов Солдатского сельского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>поселения от 17.03.2017 г.№ 65 «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Об утверждении Порядка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Увольнения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(освобождения от должности) в связи с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утратой доверия лиц, замещающих муниципальные должности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и применения к лицам, замещающим должности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муниципальной службы в органах местного самоуправления Солдатского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сельского поселения Острогожского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муниципального района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 xml:space="preserve">Воронежской области взысканий за несоблюдение ограничений и 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запретов, требований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о предотвращении или об урегулировании</w:t>
      </w:r>
    </w:p>
    <w:p>
      <w:pPr>
        <w:spacing w:after="0" w:line="240" w:lineRule="auto"/>
        <w:ind w:firstLine="567"/>
        <w:contextualSpacing/>
        <w:outlineLvl w:val="0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конфликта интересов и неисполнение обязанностей,</w:t>
      </w:r>
    </w:p>
    <w:p>
      <w:pPr>
        <w:spacing w:after="0" w:line="240" w:lineRule="auto"/>
        <w:ind w:firstLine="567"/>
        <w:contextualSpacing/>
        <w:outlineLvl w:val="0"/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установленных в целях противодействия коррупции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>»</w:t>
      </w:r>
    </w:p>
    <w:p>
      <w:pPr>
        <w:spacing w:after="0" w:line="240" w:lineRule="auto"/>
        <w:ind w:firstLine="567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rPr>
          <w:rFonts w:hint="default" w:ascii="Arial" w:hAnsi="Arial" w:eastAsia="Times New Roman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исполнение протеста Острогожской межрайонной прокуратуры от 13.03.2024 № 2-2-2024 на решение </w:t>
      </w:r>
      <w:r>
        <w:rPr>
          <w:rFonts w:hint="default" w:ascii="Arial" w:hAnsi="Arial" w:eastAsia="Times New Roman"/>
          <w:sz w:val="24"/>
          <w:szCs w:val="24"/>
          <w:lang w:val="en-US" w:eastAsia="ru-RU"/>
        </w:rPr>
        <w:t xml:space="preserve">Совета народных депутатов Солдатского сельского </w:t>
      </w:r>
    </w:p>
    <w:p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/>
          <w:sz w:val="24"/>
          <w:szCs w:val="24"/>
          <w:lang w:val="en-US" w:eastAsia="ru-RU"/>
        </w:rPr>
        <w:t xml:space="preserve">поселения от 17.03.2017 г.№ 65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Солдатского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а основании Федерального закона от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>
        <w:rPr>
          <w:rFonts w:ascii="Arial" w:hAnsi="Arial" w:eastAsia="Times New Roman" w:cs="Arial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Солдатского сельского поселения и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в целях приведения нормативного правового акта в соответствие действующему законодательству,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Совет народных депутатов Солдатского сельского поселения</w:t>
      </w:r>
    </w:p>
    <w:p>
      <w:pPr>
        <w:spacing w:after="0" w:line="240" w:lineRule="auto"/>
        <w:ind w:firstLine="708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РЕШИЛ:</w:t>
      </w:r>
    </w:p>
    <w:p>
      <w:pPr>
        <w:spacing w:after="0" w:line="240" w:lineRule="auto"/>
        <w:ind w:firstLine="567"/>
        <w:contextualSpacing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 xml:space="preserve">В </w:t>
      </w:r>
      <w:r>
        <w:rPr>
          <w:rFonts w:hint="default" w:ascii="Arial" w:hAnsi="Arial" w:eastAsia="Times New Roman" w:cs="Arial"/>
          <w:i w:val="0"/>
          <w:iCs/>
          <w:sz w:val="24"/>
          <w:szCs w:val="24"/>
          <w:lang w:val="en-US" w:eastAsia="ru-RU"/>
        </w:rPr>
        <w:t xml:space="preserve">решение </w:t>
      </w: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Совета народных депутатов Солдатского сельского поселения от 17.03.2017 г.№ 65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Солдатского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внести следующие изменения и дополнения: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Подпункт «а» приложения к решению изложить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«а) непринятия мер по предотвращению и (или) урегулированию конфликтаинтересов, стороной которого они являются, за исключением случаев,установленных федеральными законами;».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1.2. Подпункт «е» приложения к решению изложить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«</w:t>
      </w:r>
      <w:r>
        <w:rPr>
          <w:rFonts w:ascii="Arial" w:hAnsi="Arial" w:eastAsia="Times New Roman" w:cs="Arial"/>
          <w:bCs/>
          <w:i w:val="0"/>
          <w:iCs/>
          <w:sz w:val="24"/>
          <w:szCs w:val="24"/>
          <w:lang w:eastAsia="ru-RU"/>
        </w:rPr>
        <w:t>е)</w:t>
      </w:r>
      <w:r>
        <w:rPr>
          <w:rFonts w:hint="default" w:ascii="Arial" w:hAnsi="Arial" w:eastAsia="Times New Roman" w:cs="Arial"/>
          <w:bCs/>
          <w:i w:val="0"/>
          <w:iCs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bCs/>
          <w:i w:val="0"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>
        <w:rPr>
          <w:rFonts w:hint="default" w:ascii="Arial" w:hAnsi="Arial" w:eastAsia="Times New Roman" w:cs="Arial"/>
          <w:bCs/>
          <w:i w:val="0"/>
          <w:iCs/>
          <w:sz w:val="24"/>
          <w:szCs w:val="24"/>
          <w:lang w:val="en-US" w:eastAsia="ru-RU"/>
        </w:rPr>
        <w:t xml:space="preserve">, </w:t>
      </w: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за исключением случаев,установленных федеральными законами.».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 xml:space="preserve">1.3. Приложение к решению дополнить п.1.17 следующего содержания: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00" w:firstLineChars="125"/>
        <w:contextualSpacing/>
        <w:jc w:val="both"/>
        <w:textAlignment w:val="auto"/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«1.1</w:t>
      </w:r>
      <w:bookmarkStart w:id="0" w:name="_GoBack"/>
      <w:bookmarkEnd w:id="0"/>
      <w:r>
        <w:rPr>
          <w:rFonts w:hint="default" w:ascii="Arial" w:hAnsi="Arial" w:eastAsia="Times New Roman"/>
          <w:i w:val="0"/>
          <w:iCs/>
          <w:sz w:val="24"/>
          <w:szCs w:val="24"/>
          <w:lang w:val="en-US" w:eastAsia="ru-RU"/>
        </w:rPr>
        <w:t>7. Муниципальный служащий освобождается от ответственности за несоблюдение ограничений и 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 3-6 ст. 13 Федерального закона от 25.12.2008 № 273-ФЗ «О противодействии коррупции».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00" w:firstLineChars="125"/>
        <w:contextualSpacing/>
        <w:jc w:val="both"/>
        <w:textAlignment w:val="auto"/>
        <w:rPr>
          <w:rFonts w:hint="default" w:ascii="Arial" w:hAnsi="Arial" w:eastAsia="Times New Roman" w:cs="Arial"/>
          <w:i w:val="0"/>
          <w:iCs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00" w:firstLineChars="125"/>
        <w:contextualSpacing/>
        <w:jc w:val="both"/>
        <w:textAlignment w:val="auto"/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i w:val="0"/>
          <w:iCs/>
          <w:sz w:val="24"/>
          <w:szCs w:val="24"/>
          <w:lang w:val="en-US" w:eastAsia="ru-RU"/>
        </w:rPr>
        <w:t>2</w:t>
      </w:r>
      <w:r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  <w:t>. Настоящее решение вступает в силу после его обнародования.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00" w:firstLineChars="125"/>
        <w:contextualSpacing/>
        <w:jc w:val="both"/>
        <w:textAlignment w:val="auto"/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00" w:firstLineChars="125"/>
        <w:contextualSpacing/>
        <w:jc w:val="both"/>
        <w:textAlignment w:val="auto"/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i w:val="0"/>
          <w:iCs/>
          <w:sz w:val="24"/>
          <w:szCs w:val="24"/>
          <w:lang w:val="en-US" w:eastAsia="ru-RU"/>
        </w:rPr>
        <w:t>3</w:t>
      </w:r>
      <w:r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>
      <w:pPr>
        <w:spacing w:after="0" w:line="240" w:lineRule="auto"/>
        <w:ind w:firstLine="567"/>
        <w:contextualSpacing/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jc w:val="both"/>
        <w:rPr>
          <w:rFonts w:ascii="Arial" w:hAnsi="Arial" w:eastAsia="Times New Roman" w:cs="Arial"/>
          <w:i w:val="0"/>
          <w:iCs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Глава Солдатского сельского поселения                                   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    </w:t>
      </w:r>
      <w:r>
        <w:rPr>
          <w:rFonts w:ascii="Arial" w:hAnsi="Arial" w:eastAsia="Times New Roman" w:cs="Arial"/>
          <w:sz w:val="24"/>
          <w:szCs w:val="24"/>
          <w:lang w:eastAsia="ru-RU"/>
        </w:rPr>
        <w:t>И.Е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.Просянников</w:t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96259"/>
    <w:multiLevelType w:val="singleLevel"/>
    <w:tmpl w:val="B72962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1ED58E6"/>
    <w:multiLevelType w:val="multilevel"/>
    <w:tmpl w:val="51ED58E6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66CC"/>
    <w:rsid w:val="000007A9"/>
    <w:rsid w:val="000123D1"/>
    <w:rsid w:val="00015098"/>
    <w:rsid w:val="00017950"/>
    <w:rsid w:val="00021EA9"/>
    <w:rsid w:val="000412AC"/>
    <w:rsid w:val="000479C9"/>
    <w:rsid w:val="00053D10"/>
    <w:rsid w:val="000B5B20"/>
    <w:rsid w:val="000B6309"/>
    <w:rsid w:val="000F0E6D"/>
    <w:rsid w:val="001157A1"/>
    <w:rsid w:val="00116B23"/>
    <w:rsid w:val="001349C0"/>
    <w:rsid w:val="00175D4D"/>
    <w:rsid w:val="0021035B"/>
    <w:rsid w:val="002107D7"/>
    <w:rsid w:val="00235DB3"/>
    <w:rsid w:val="0025195E"/>
    <w:rsid w:val="0029573C"/>
    <w:rsid w:val="002B6EEE"/>
    <w:rsid w:val="003103BE"/>
    <w:rsid w:val="00311E4C"/>
    <w:rsid w:val="00314D51"/>
    <w:rsid w:val="0032537E"/>
    <w:rsid w:val="00325675"/>
    <w:rsid w:val="00330AD7"/>
    <w:rsid w:val="00356D73"/>
    <w:rsid w:val="00363CA4"/>
    <w:rsid w:val="003878EE"/>
    <w:rsid w:val="00387D28"/>
    <w:rsid w:val="003941D3"/>
    <w:rsid w:val="003C06BE"/>
    <w:rsid w:val="003C7114"/>
    <w:rsid w:val="003E4588"/>
    <w:rsid w:val="003F677D"/>
    <w:rsid w:val="004247DF"/>
    <w:rsid w:val="004263DB"/>
    <w:rsid w:val="004323E8"/>
    <w:rsid w:val="00475FD9"/>
    <w:rsid w:val="00485027"/>
    <w:rsid w:val="004A0C2A"/>
    <w:rsid w:val="004A0C39"/>
    <w:rsid w:val="004A6C26"/>
    <w:rsid w:val="004B51C9"/>
    <w:rsid w:val="004B6963"/>
    <w:rsid w:val="004C1FE2"/>
    <w:rsid w:val="004D1F64"/>
    <w:rsid w:val="004E3204"/>
    <w:rsid w:val="00505613"/>
    <w:rsid w:val="00507E21"/>
    <w:rsid w:val="005108C8"/>
    <w:rsid w:val="00544873"/>
    <w:rsid w:val="005617DF"/>
    <w:rsid w:val="005878AE"/>
    <w:rsid w:val="005901C5"/>
    <w:rsid w:val="0059619F"/>
    <w:rsid w:val="005A2190"/>
    <w:rsid w:val="005A516D"/>
    <w:rsid w:val="005B4D43"/>
    <w:rsid w:val="005C232E"/>
    <w:rsid w:val="005F54BE"/>
    <w:rsid w:val="006249D1"/>
    <w:rsid w:val="00642B2B"/>
    <w:rsid w:val="00670232"/>
    <w:rsid w:val="006B2B7F"/>
    <w:rsid w:val="006C3626"/>
    <w:rsid w:val="006C640B"/>
    <w:rsid w:val="006D091E"/>
    <w:rsid w:val="00701BB1"/>
    <w:rsid w:val="00734AD6"/>
    <w:rsid w:val="00753A12"/>
    <w:rsid w:val="00757882"/>
    <w:rsid w:val="007824A5"/>
    <w:rsid w:val="007B77BB"/>
    <w:rsid w:val="007C2BBF"/>
    <w:rsid w:val="007C6A49"/>
    <w:rsid w:val="007D7577"/>
    <w:rsid w:val="007E1F79"/>
    <w:rsid w:val="007E311B"/>
    <w:rsid w:val="00823183"/>
    <w:rsid w:val="008301A6"/>
    <w:rsid w:val="00832307"/>
    <w:rsid w:val="00861B4A"/>
    <w:rsid w:val="00865917"/>
    <w:rsid w:val="00865B53"/>
    <w:rsid w:val="008955BB"/>
    <w:rsid w:val="008A3F96"/>
    <w:rsid w:val="008C5157"/>
    <w:rsid w:val="008E7E83"/>
    <w:rsid w:val="008F2755"/>
    <w:rsid w:val="0092444A"/>
    <w:rsid w:val="0096393D"/>
    <w:rsid w:val="00965540"/>
    <w:rsid w:val="009820D5"/>
    <w:rsid w:val="009855E8"/>
    <w:rsid w:val="00A02E5B"/>
    <w:rsid w:val="00A14694"/>
    <w:rsid w:val="00A35F3B"/>
    <w:rsid w:val="00A77DDE"/>
    <w:rsid w:val="00A92E65"/>
    <w:rsid w:val="00AA7BA7"/>
    <w:rsid w:val="00AB58B5"/>
    <w:rsid w:val="00AC645D"/>
    <w:rsid w:val="00AD5CA3"/>
    <w:rsid w:val="00AD6302"/>
    <w:rsid w:val="00AE1759"/>
    <w:rsid w:val="00AF66CC"/>
    <w:rsid w:val="00AF74F9"/>
    <w:rsid w:val="00B024B8"/>
    <w:rsid w:val="00B32F1E"/>
    <w:rsid w:val="00B4105B"/>
    <w:rsid w:val="00B41ACD"/>
    <w:rsid w:val="00B44499"/>
    <w:rsid w:val="00B86368"/>
    <w:rsid w:val="00BA1FD8"/>
    <w:rsid w:val="00BA2B13"/>
    <w:rsid w:val="00BA3103"/>
    <w:rsid w:val="00C04E83"/>
    <w:rsid w:val="00C1408D"/>
    <w:rsid w:val="00C23D71"/>
    <w:rsid w:val="00C56BC4"/>
    <w:rsid w:val="00C81B38"/>
    <w:rsid w:val="00C824FE"/>
    <w:rsid w:val="00C9284D"/>
    <w:rsid w:val="00CA414F"/>
    <w:rsid w:val="00CE4342"/>
    <w:rsid w:val="00CF29DE"/>
    <w:rsid w:val="00D17162"/>
    <w:rsid w:val="00D40EFF"/>
    <w:rsid w:val="00D914BE"/>
    <w:rsid w:val="00D95E91"/>
    <w:rsid w:val="00DA3A67"/>
    <w:rsid w:val="00DC4F91"/>
    <w:rsid w:val="00DC6D14"/>
    <w:rsid w:val="00DD1FFA"/>
    <w:rsid w:val="00DD603D"/>
    <w:rsid w:val="00DE326E"/>
    <w:rsid w:val="00DE63B3"/>
    <w:rsid w:val="00E41950"/>
    <w:rsid w:val="00E4772E"/>
    <w:rsid w:val="00E74F58"/>
    <w:rsid w:val="00E95F2B"/>
    <w:rsid w:val="00EA0E46"/>
    <w:rsid w:val="00EE73D0"/>
    <w:rsid w:val="00F05F9D"/>
    <w:rsid w:val="00F212DD"/>
    <w:rsid w:val="00F334AE"/>
    <w:rsid w:val="00F530F7"/>
    <w:rsid w:val="00F71765"/>
    <w:rsid w:val="00F81CA4"/>
    <w:rsid w:val="00F85DA4"/>
    <w:rsid w:val="00FA451D"/>
    <w:rsid w:val="00FA4BFB"/>
    <w:rsid w:val="00FD3AD1"/>
    <w:rsid w:val="134B1E95"/>
    <w:rsid w:val="31BE1B53"/>
    <w:rsid w:val="413C0538"/>
    <w:rsid w:val="43627E1C"/>
    <w:rsid w:val="61CD5096"/>
    <w:rsid w:val="72B83E3F"/>
    <w:rsid w:val="75F26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7"/>
    <w:uiPriority w:val="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6">
    <w:name w:val="footer"/>
    <w:basedOn w:val="1"/>
    <w:link w:val="8"/>
    <w:uiPriority w:val="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3"/>
    <w:link w:val="5"/>
    <w:qFormat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3"/>
    <w:link w:val="6"/>
    <w:uiPriority w:val="0"/>
    <w:rPr>
      <w:rFonts w:ascii="Arial" w:hAnsi="Arial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11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paragraph" w:customStyle="1" w:styleId="12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94EF-6A86-4527-B65B-7EEC250581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2702</Words>
  <Characters>20125</Characters>
  <Lines>153</Lines>
  <Paragraphs>43</Paragraphs>
  <TotalTime>12</TotalTime>
  <ScaleCrop>false</ScaleCrop>
  <LinksUpToDate>false</LinksUpToDate>
  <CharactersWithSpaces>22773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2015-04-06T14:04:00Z</dcterms:created>
  <dc:creator>СТОВОЛОСОВА  Татьяна  Анатольевна</dc:creator>
  <cp:lastModifiedBy>soldatskoe</cp:lastModifiedBy>
  <cp:lastPrinted>2024-04-25T11:20:28Z</cp:lastPrinted>
  <dcterms:modified xsi:type="dcterms:W3CDTF">2024-04-25T11:20:38Z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  <property fmtid="{D5CDD505-2E9C-101B-9397-08002B2CF9AE}" pid="3" name="KSOProductBuildVer">
    <vt:lpwstr>1049-12.2.0.16731</vt:lpwstr>
  </property>
  <property fmtid="{D5CDD505-2E9C-101B-9397-08002B2CF9AE}" pid="4" name="ICV">
    <vt:lpwstr>DC5429B04AEA40FEBE721E3801E43776_12</vt:lpwstr>
  </property>
</Properties>
</file>